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56" w:rsidRPr="001923EC" w:rsidRDefault="001923EC">
      <w:pPr>
        <w:rPr>
          <w:b/>
          <w:sz w:val="36"/>
          <w:szCs w:val="36"/>
        </w:rPr>
      </w:pPr>
      <w:r>
        <w:rPr>
          <w:rFonts w:hint="eastAsia"/>
          <w:sz w:val="32"/>
          <w:szCs w:val="32"/>
        </w:rPr>
        <w:t xml:space="preserve">                        </w:t>
      </w:r>
      <w:bookmarkStart w:id="0" w:name="OLE_LINK10"/>
      <w:bookmarkStart w:id="1" w:name="OLE_LINK11"/>
      <w:bookmarkStart w:id="2" w:name="OLE_LINK16"/>
      <w:r w:rsidRPr="001923EC">
        <w:rPr>
          <w:b/>
          <w:sz w:val="36"/>
          <w:szCs w:val="36"/>
        </w:rPr>
        <w:t>McGraw-Hill</w:t>
      </w:r>
      <w:bookmarkEnd w:id="0"/>
      <w:bookmarkEnd w:id="1"/>
      <w:bookmarkEnd w:id="2"/>
      <w:r w:rsidRPr="001923EC">
        <w:rPr>
          <w:b/>
          <w:sz w:val="36"/>
          <w:szCs w:val="36"/>
        </w:rPr>
        <w:t xml:space="preserve"> </w:t>
      </w:r>
      <w:r w:rsidR="00DB0C3F">
        <w:rPr>
          <w:b/>
          <w:sz w:val="36"/>
          <w:szCs w:val="36"/>
        </w:rPr>
        <w:t>Access Pharmacy</w:t>
      </w:r>
      <w:r>
        <w:rPr>
          <w:rFonts w:hint="eastAsia"/>
          <w:b/>
          <w:sz w:val="36"/>
          <w:szCs w:val="36"/>
        </w:rPr>
        <w:t>电子数据库介绍</w:t>
      </w:r>
    </w:p>
    <w:p w:rsidR="00737191" w:rsidRPr="00816DC3" w:rsidRDefault="00EE6D22" w:rsidP="00EE6D22">
      <w:pPr>
        <w:autoSpaceDE w:val="0"/>
        <w:autoSpaceDN w:val="0"/>
        <w:adjustRightInd w:val="0"/>
        <w:spacing w:after="0" w:line="300" w:lineRule="auto"/>
      </w:pPr>
      <w:bookmarkStart w:id="3" w:name="OLE_LINK5"/>
      <w:r>
        <w:rPr>
          <w:rFonts w:hint="eastAsia"/>
        </w:rPr>
        <w:t xml:space="preserve">         </w:t>
      </w:r>
      <w:proofErr w:type="spellStart"/>
      <w:r w:rsidR="00940782">
        <w:t>AccessPharmac</w:t>
      </w:r>
      <w:r w:rsidR="00B75DB0">
        <w:rPr>
          <w:rFonts w:hint="eastAsia"/>
        </w:rPr>
        <w:t>y</w:t>
      </w:r>
      <w:proofErr w:type="spellEnd"/>
      <w:r w:rsidR="000C1FF3">
        <w:rPr>
          <w:rFonts w:hint="eastAsia"/>
        </w:rPr>
        <w:t>是一个帮助读者</w:t>
      </w:r>
      <w:r w:rsidR="00940782">
        <w:rPr>
          <w:rFonts w:hint="eastAsia"/>
        </w:rPr>
        <w:t>探索领先的药学参考信息，检索主题课程，</w:t>
      </w:r>
      <w:r w:rsidR="000C1FF3">
        <w:rPr>
          <w:rFonts w:hint="eastAsia"/>
        </w:rPr>
        <w:t>研究药物和保健药品，及时跟踪最新</w:t>
      </w:r>
      <w:r w:rsidR="007553BB">
        <w:rPr>
          <w:rFonts w:hint="eastAsia"/>
        </w:rPr>
        <w:t>药学新闻</w:t>
      </w:r>
      <w:r w:rsidR="000C1FF3">
        <w:rPr>
          <w:rFonts w:hint="eastAsia"/>
        </w:rPr>
        <w:t>的定期更新的在线资源平台</w:t>
      </w:r>
      <w:r w:rsidR="007553BB">
        <w:rPr>
          <w:rFonts w:hint="eastAsia"/>
        </w:rPr>
        <w:t>。</w:t>
      </w:r>
      <w:r w:rsidR="000C1FF3">
        <w:rPr>
          <w:rFonts w:hint="eastAsia"/>
        </w:rPr>
        <w:t>此平台还可以帮助学生发展重要的解决实际案例的技巧和能力，整合案例研究和护理计划</w:t>
      </w:r>
      <w:r w:rsidR="00B75DB0">
        <w:rPr>
          <w:rFonts w:hint="eastAsia"/>
        </w:rPr>
        <w:t>。</w:t>
      </w:r>
    </w:p>
    <w:bookmarkEnd w:id="3"/>
    <w:p w:rsidR="00F03C76" w:rsidRDefault="00EE6D22" w:rsidP="00EE6D22">
      <w:pPr>
        <w:spacing w:line="300" w:lineRule="auto"/>
      </w:pPr>
      <w:r>
        <w:rPr>
          <w:rFonts w:ascii="TradeGothic" w:hAnsi="TradeGothic" w:cs="TradeGothic" w:hint="eastAsia"/>
          <w:color w:val="231F20"/>
          <w:sz w:val="28"/>
          <w:szCs w:val="28"/>
        </w:rPr>
        <w:t xml:space="preserve">      </w:t>
      </w:r>
      <w:r w:rsidRPr="00EE6D22">
        <w:rPr>
          <w:rFonts w:hint="eastAsia"/>
        </w:rPr>
        <w:t>用户</w:t>
      </w:r>
      <w:r w:rsidR="00E251F4">
        <w:rPr>
          <w:rFonts w:hint="eastAsia"/>
        </w:rPr>
        <w:t>可以根据</w:t>
      </w:r>
      <w:proofErr w:type="spellStart"/>
      <w:r w:rsidR="00737191">
        <w:rPr>
          <w:rFonts w:hint="eastAsia"/>
        </w:rPr>
        <w:t>Access</w:t>
      </w:r>
      <w:r w:rsidR="00737191">
        <w:t>Pharmacy</w:t>
      </w:r>
      <w:proofErr w:type="spellEnd"/>
      <w:r w:rsidR="00E251F4">
        <w:rPr>
          <w:rFonts w:hint="eastAsia"/>
        </w:rPr>
        <w:t>提供给他们的知识精要来确保高质的</w:t>
      </w:r>
      <w:r w:rsidR="00737191">
        <w:rPr>
          <w:rFonts w:hint="eastAsia"/>
        </w:rPr>
        <w:t>药物治疗</w:t>
      </w:r>
      <w:r w:rsidR="000D144A">
        <w:rPr>
          <w:rFonts w:hint="eastAsia"/>
        </w:rPr>
        <w:t>，</w:t>
      </w:r>
      <w:r w:rsidR="00E251F4">
        <w:rPr>
          <w:rFonts w:hint="eastAsia"/>
        </w:rPr>
        <w:t>进行医</w:t>
      </w:r>
      <w:r w:rsidR="000D144A">
        <w:rPr>
          <w:rFonts w:hint="eastAsia"/>
        </w:rPr>
        <w:t>、药</w:t>
      </w:r>
      <w:r w:rsidR="00E251F4">
        <w:rPr>
          <w:rFonts w:hint="eastAsia"/>
        </w:rPr>
        <w:t>学研究或在</w:t>
      </w:r>
      <w:proofErr w:type="gramStart"/>
      <w:r w:rsidR="00E251F4">
        <w:rPr>
          <w:rFonts w:hint="eastAsia"/>
        </w:rPr>
        <w:t>医</w:t>
      </w:r>
      <w:proofErr w:type="gramEnd"/>
      <w:r w:rsidR="000D144A">
        <w:rPr>
          <w:rFonts w:hint="eastAsia"/>
        </w:rPr>
        <w:t>、药</w:t>
      </w:r>
      <w:r w:rsidR="00E251F4">
        <w:rPr>
          <w:rFonts w:hint="eastAsia"/>
        </w:rPr>
        <w:t>学专业有所建树。</w:t>
      </w:r>
      <w:bookmarkStart w:id="4" w:name="OLE_LINK1"/>
      <w:bookmarkStart w:id="5" w:name="OLE_LINK2"/>
      <w:bookmarkStart w:id="6" w:name="_GoBack"/>
      <w:bookmarkEnd w:id="6"/>
    </w:p>
    <w:p w:rsidR="006C6F1F" w:rsidRPr="00EE6D22" w:rsidRDefault="006C6F1F" w:rsidP="00EE6D22">
      <w:pPr>
        <w:spacing w:line="300" w:lineRule="auto"/>
        <w:rPr>
          <w:b/>
        </w:rPr>
      </w:pPr>
      <w:proofErr w:type="spellStart"/>
      <w:r w:rsidRPr="00EE6D22">
        <w:rPr>
          <w:rFonts w:hint="eastAsia"/>
          <w:b/>
        </w:rPr>
        <w:t>AccessPharmacy</w:t>
      </w:r>
      <w:proofErr w:type="spellEnd"/>
      <w:r w:rsidRPr="00EE6D22">
        <w:rPr>
          <w:rFonts w:hint="eastAsia"/>
          <w:b/>
        </w:rPr>
        <w:t>数据库的特色内容：</w:t>
      </w:r>
      <w:r w:rsidRPr="00EE6D22">
        <w:rPr>
          <w:rFonts w:hint="eastAsia"/>
          <w:b/>
        </w:rPr>
        <w:t xml:space="preserve"> </w:t>
      </w:r>
    </w:p>
    <w:bookmarkEnd w:id="4"/>
    <w:bookmarkEnd w:id="5"/>
    <w:p w:rsidR="00E251F4" w:rsidRDefault="00E20485" w:rsidP="00EE6D22">
      <w:pPr>
        <w:pStyle w:val="a3"/>
        <w:numPr>
          <w:ilvl w:val="0"/>
          <w:numId w:val="7"/>
        </w:numPr>
        <w:spacing w:line="300" w:lineRule="auto"/>
      </w:pPr>
      <w:r>
        <w:rPr>
          <w:rFonts w:hint="eastAsia"/>
        </w:rPr>
        <w:t>数据库包括了</w:t>
      </w:r>
      <w:r w:rsidR="000D786B">
        <w:rPr>
          <w:rFonts w:hint="eastAsia"/>
        </w:rPr>
        <w:t>近</w:t>
      </w:r>
      <w:r w:rsidR="000D786B">
        <w:rPr>
          <w:rFonts w:hint="eastAsia"/>
        </w:rPr>
        <w:t>50</w:t>
      </w:r>
      <w:r w:rsidR="00AE29DA">
        <w:rPr>
          <w:rFonts w:hint="eastAsia"/>
        </w:rPr>
        <w:t>本</w:t>
      </w:r>
      <w:r w:rsidR="006E1AA5">
        <w:rPr>
          <w:rFonts w:hint="eastAsia"/>
        </w:rPr>
        <w:t>知</w:t>
      </w:r>
      <w:r w:rsidR="00E251F4">
        <w:rPr>
          <w:rFonts w:hint="eastAsia"/>
        </w:rPr>
        <w:t>名</w:t>
      </w:r>
      <w:r w:rsidR="006C6F1F">
        <w:rPr>
          <w:rFonts w:hint="eastAsia"/>
        </w:rPr>
        <w:t>的</w:t>
      </w:r>
      <w:r w:rsidR="00E251F4">
        <w:rPr>
          <w:rFonts w:hint="eastAsia"/>
        </w:rPr>
        <w:t>医学著作</w:t>
      </w:r>
      <w:r w:rsidR="009D2B6B">
        <w:t>Readings</w:t>
      </w:r>
      <w:r w:rsidR="00E251F4">
        <w:rPr>
          <w:rFonts w:hint="eastAsia"/>
        </w:rPr>
        <w:t>：</w:t>
      </w:r>
    </w:p>
    <w:p w:rsidR="006C6F1F" w:rsidRPr="006C6F1F" w:rsidRDefault="00164149" w:rsidP="00EE6D2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00" w:lineRule="auto"/>
        <w:rPr>
          <w:rFonts w:ascii="TradeGothic-Oblique" w:hAnsi="TradeGothic-Oblique" w:cs="TradeGothic-Oblique"/>
          <w:iCs/>
          <w:color w:val="231F20"/>
          <w:sz w:val="20"/>
          <w:szCs w:val="20"/>
        </w:rPr>
      </w:pPr>
      <w:r w:rsidRPr="006C6F1F">
        <w:rPr>
          <w:rFonts w:ascii="TradeGothic-Oblique" w:hAnsi="TradeGothic-Oblique" w:cs="TradeGothic-Oblique" w:hint="eastAsia"/>
          <w:iCs/>
          <w:color w:val="231F20"/>
          <w:sz w:val="20"/>
          <w:szCs w:val="20"/>
        </w:rPr>
        <w:t>《</w:t>
      </w:r>
      <w:r w:rsidR="00A54ED4" w:rsidRPr="006C6F1F">
        <w:rPr>
          <w:rFonts w:ascii="TradeGothic-Oblique" w:hAnsi="TradeGothic-Oblique" w:cs="TradeGothic-Oblique"/>
          <w:iCs/>
          <w:color w:val="231F20"/>
          <w:sz w:val="20"/>
          <w:szCs w:val="20"/>
        </w:rPr>
        <w:t>Pharmacotherapy: A Pathophysiologic Approach</w:t>
      </w:r>
      <w:r w:rsidRPr="006C6F1F">
        <w:rPr>
          <w:rFonts w:ascii="TradeGothic-Oblique" w:hAnsi="TradeGothic-Oblique" w:cs="TradeGothic-Oblique" w:hint="eastAsia"/>
          <w:iCs/>
          <w:color w:val="231F20"/>
          <w:sz w:val="20"/>
          <w:szCs w:val="20"/>
        </w:rPr>
        <w:t>》</w:t>
      </w:r>
    </w:p>
    <w:p w:rsidR="00A54ED4" w:rsidRPr="00A54ED4" w:rsidRDefault="00164149" w:rsidP="00EE6D2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00" w:lineRule="auto"/>
        <w:rPr>
          <w:rFonts w:ascii="TradeGothic-Oblique" w:hAnsi="TradeGothic-Oblique" w:cs="TradeGothic-Oblique"/>
          <w:iCs/>
          <w:color w:val="231F20"/>
          <w:sz w:val="20"/>
          <w:szCs w:val="20"/>
        </w:rPr>
      </w:pPr>
      <w:r>
        <w:rPr>
          <w:rFonts w:ascii="TradeGothic-Oblique" w:hAnsi="TradeGothic-Oblique" w:cs="TradeGothic-Oblique" w:hint="eastAsia"/>
          <w:iCs/>
          <w:color w:val="231F20"/>
          <w:sz w:val="20"/>
          <w:szCs w:val="20"/>
        </w:rPr>
        <w:t>《</w:t>
      </w:r>
      <w:r w:rsidR="00A54ED4" w:rsidRPr="00A54ED4">
        <w:rPr>
          <w:rFonts w:ascii="TradeGothic-Oblique" w:hAnsi="TradeGothic-Oblique" w:cs="TradeGothic-Oblique"/>
          <w:iCs/>
          <w:color w:val="231F20"/>
          <w:sz w:val="20"/>
          <w:szCs w:val="20"/>
        </w:rPr>
        <w:t>Pharmacotherapy Casebook</w:t>
      </w:r>
      <w:r>
        <w:rPr>
          <w:rFonts w:ascii="TradeGothic-Oblique" w:hAnsi="TradeGothic-Oblique" w:cs="TradeGothic-Oblique" w:hint="eastAsia"/>
          <w:iCs/>
          <w:color w:val="231F20"/>
          <w:sz w:val="20"/>
          <w:szCs w:val="20"/>
        </w:rPr>
        <w:t>》</w:t>
      </w:r>
    </w:p>
    <w:p w:rsidR="00A54ED4" w:rsidRPr="00A54ED4" w:rsidRDefault="00164149" w:rsidP="00EE6D2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00" w:lineRule="auto"/>
        <w:rPr>
          <w:rFonts w:ascii="TradeGothic-Oblique" w:hAnsi="TradeGothic-Oblique" w:cs="TradeGothic-Oblique"/>
          <w:iCs/>
          <w:color w:val="231F20"/>
          <w:sz w:val="20"/>
          <w:szCs w:val="20"/>
        </w:rPr>
      </w:pPr>
      <w:r>
        <w:rPr>
          <w:rFonts w:ascii="TradeGothic-Oblique" w:hAnsi="TradeGothic-Oblique" w:cs="TradeGothic-Oblique" w:hint="eastAsia"/>
          <w:iCs/>
          <w:color w:val="231F20"/>
          <w:sz w:val="20"/>
          <w:szCs w:val="20"/>
        </w:rPr>
        <w:t>《</w:t>
      </w:r>
      <w:r w:rsidR="00A54ED4" w:rsidRPr="00A54ED4">
        <w:rPr>
          <w:rFonts w:ascii="TradeGothic-Oblique" w:hAnsi="TradeGothic-Oblique" w:cs="TradeGothic-Oblique"/>
          <w:iCs/>
          <w:color w:val="231F20"/>
          <w:sz w:val="20"/>
          <w:szCs w:val="20"/>
        </w:rPr>
        <w:t>Goodman &amp; Gilman’s The Pharmacological Basis of Therapeutics</w:t>
      </w:r>
      <w:r>
        <w:rPr>
          <w:rFonts w:ascii="TradeGothic-Oblique" w:hAnsi="TradeGothic-Oblique" w:cs="TradeGothic-Oblique" w:hint="eastAsia"/>
          <w:iCs/>
          <w:color w:val="231F20"/>
          <w:sz w:val="20"/>
          <w:szCs w:val="20"/>
        </w:rPr>
        <w:t>》</w:t>
      </w:r>
    </w:p>
    <w:p w:rsidR="00A54ED4" w:rsidRPr="00A54ED4" w:rsidRDefault="00164149" w:rsidP="00EE6D2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00" w:lineRule="auto"/>
        <w:rPr>
          <w:rFonts w:ascii="TradeGothic-Oblique" w:hAnsi="TradeGothic-Oblique" w:cs="TradeGothic-Oblique"/>
          <w:iCs/>
          <w:color w:val="231F20"/>
          <w:sz w:val="20"/>
          <w:szCs w:val="20"/>
        </w:rPr>
      </w:pPr>
      <w:r>
        <w:rPr>
          <w:rFonts w:ascii="TradeGothic-Oblique" w:hAnsi="TradeGothic-Oblique" w:cs="TradeGothic-Oblique" w:hint="eastAsia"/>
          <w:iCs/>
          <w:color w:val="231F20"/>
          <w:sz w:val="20"/>
          <w:szCs w:val="20"/>
        </w:rPr>
        <w:t>《</w:t>
      </w:r>
      <w:r w:rsidR="00A54ED4" w:rsidRPr="00A54ED4">
        <w:rPr>
          <w:rFonts w:ascii="TradeGothic-Oblique" w:hAnsi="TradeGothic-Oblique" w:cs="TradeGothic-Oblique"/>
          <w:iCs/>
          <w:color w:val="231F20"/>
          <w:sz w:val="20"/>
          <w:szCs w:val="20"/>
        </w:rPr>
        <w:t>Harrison’s Principles of Internal Medicine</w:t>
      </w:r>
      <w:r>
        <w:rPr>
          <w:rFonts w:ascii="TradeGothic-Oblique" w:hAnsi="TradeGothic-Oblique" w:cs="TradeGothic-Oblique" w:hint="eastAsia"/>
          <w:iCs/>
          <w:color w:val="231F20"/>
          <w:sz w:val="20"/>
          <w:szCs w:val="20"/>
        </w:rPr>
        <w:t>》</w:t>
      </w:r>
    </w:p>
    <w:p w:rsidR="00A54ED4" w:rsidRPr="00A54ED4" w:rsidRDefault="00164149" w:rsidP="00EE6D2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00" w:lineRule="auto"/>
        <w:rPr>
          <w:rFonts w:ascii="TradeGothic-Oblique" w:hAnsi="TradeGothic-Oblique" w:cs="TradeGothic-Oblique"/>
          <w:iCs/>
          <w:color w:val="231F20"/>
          <w:sz w:val="20"/>
          <w:szCs w:val="20"/>
        </w:rPr>
      </w:pPr>
      <w:r>
        <w:rPr>
          <w:rFonts w:ascii="TradeGothic-Oblique" w:hAnsi="TradeGothic-Oblique" w:cs="TradeGothic-Oblique" w:hint="eastAsia"/>
          <w:iCs/>
          <w:color w:val="231F20"/>
          <w:sz w:val="20"/>
          <w:szCs w:val="20"/>
        </w:rPr>
        <w:t>《</w:t>
      </w:r>
      <w:r w:rsidR="00A54ED4" w:rsidRPr="00A54ED4">
        <w:rPr>
          <w:rFonts w:ascii="TradeGothic-Oblique" w:hAnsi="TradeGothic-Oblique" w:cs="TradeGothic-Oblique"/>
          <w:iCs/>
          <w:color w:val="231F20"/>
          <w:sz w:val="20"/>
          <w:szCs w:val="20"/>
        </w:rPr>
        <w:t>Basic &amp; Clinical Pharmacology</w:t>
      </w:r>
      <w:r>
        <w:rPr>
          <w:rFonts w:ascii="TradeGothic-Oblique" w:hAnsi="TradeGothic-Oblique" w:cs="TradeGothic-Oblique" w:hint="eastAsia"/>
          <w:iCs/>
          <w:color w:val="231F20"/>
          <w:sz w:val="20"/>
          <w:szCs w:val="20"/>
        </w:rPr>
        <w:t>》</w:t>
      </w:r>
    </w:p>
    <w:p w:rsidR="00A54ED4" w:rsidRPr="00A54ED4" w:rsidRDefault="00164149" w:rsidP="00EE6D2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00" w:lineRule="auto"/>
        <w:rPr>
          <w:rFonts w:ascii="TradeGothic-Oblique" w:hAnsi="TradeGothic-Oblique" w:cs="TradeGothic-Oblique"/>
          <w:iCs/>
          <w:color w:val="231F20"/>
          <w:sz w:val="20"/>
          <w:szCs w:val="20"/>
        </w:rPr>
      </w:pPr>
      <w:r>
        <w:rPr>
          <w:rFonts w:ascii="TradeGothic-Oblique" w:hAnsi="TradeGothic-Oblique" w:cs="TradeGothic-Oblique" w:hint="eastAsia"/>
          <w:iCs/>
          <w:color w:val="231F20"/>
          <w:sz w:val="20"/>
          <w:szCs w:val="20"/>
        </w:rPr>
        <w:t>《</w:t>
      </w:r>
      <w:r w:rsidR="00A54ED4" w:rsidRPr="00A54ED4">
        <w:rPr>
          <w:rFonts w:ascii="TradeGothic-Oblique" w:hAnsi="TradeGothic-Oblique" w:cs="TradeGothic-Oblique"/>
          <w:iCs/>
          <w:color w:val="231F20"/>
          <w:sz w:val="20"/>
          <w:szCs w:val="20"/>
        </w:rPr>
        <w:t>Applied Biopharmaceutics &amp; Pharmacokinetics</w:t>
      </w:r>
      <w:r>
        <w:rPr>
          <w:rFonts w:ascii="TradeGothic-Oblique" w:hAnsi="TradeGothic-Oblique" w:cs="TradeGothic-Oblique" w:hint="eastAsia"/>
          <w:iCs/>
          <w:color w:val="231F20"/>
          <w:sz w:val="20"/>
          <w:szCs w:val="20"/>
        </w:rPr>
        <w:t>》</w:t>
      </w:r>
    </w:p>
    <w:p w:rsidR="00A54ED4" w:rsidRPr="00A54ED4" w:rsidRDefault="00164149" w:rsidP="00EE6D2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00" w:lineRule="auto"/>
        <w:rPr>
          <w:rFonts w:ascii="TradeGothic-Oblique" w:hAnsi="TradeGothic-Oblique" w:cs="TradeGothic-Oblique"/>
          <w:iCs/>
          <w:color w:val="231F20"/>
          <w:sz w:val="20"/>
          <w:szCs w:val="20"/>
        </w:rPr>
      </w:pPr>
      <w:r>
        <w:rPr>
          <w:rFonts w:ascii="TradeGothic-Oblique" w:hAnsi="TradeGothic-Oblique" w:cs="TradeGothic-Oblique" w:hint="eastAsia"/>
          <w:iCs/>
          <w:color w:val="231F20"/>
          <w:sz w:val="20"/>
          <w:szCs w:val="20"/>
        </w:rPr>
        <w:t>《</w:t>
      </w:r>
      <w:r w:rsidR="00A54ED4" w:rsidRPr="00A54ED4">
        <w:rPr>
          <w:rFonts w:ascii="TradeGothic-Oblique" w:hAnsi="TradeGothic-Oblique" w:cs="TradeGothic-Oblique"/>
          <w:iCs/>
          <w:color w:val="231F20"/>
          <w:sz w:val="20"/>
          <w:szCs w:val="20"/>
        </w:rPr>
        <w:t>Drug Information: A Guide for Pharmacists</w:t>
      </w:r>
      <w:r>
        <w:rPr>
          <w:rFonts w:ascii="TradeGothic-Oblique" w:hAnsi="TradeGothic-Oblique" w:cs="TradeGothic-Oblique" w:hint="eastAsia"/>
          <w:iCs/>
          <w:color w:val="231F20"/>
          <w:sz w:val="20"/>
          <w:szCs w:val="20"/>
        </w:rPr>
        <w:t>》</w:t>
      </w:r>
    </w:p>
    <w:p w:rsidR="00A54ED4" w:rsidRPr="00A54ED4" w:rsidRDefault="00164149" w:rsidP="00EE6D2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00" w:lineRule="auto"/>
        <w:rPr>
          <w:rFonts w:ascii="TradeGothic-Oblique" w:hAnsi="TradeGothic-Oblique" w:cs="TradeGothic-Oblique"/>
          <w:iCs/>
          <w:color w:val="231F20"/>
          <w:sz w:val="20"/>
          <w:szCs w:val="20"/>
        </w:rPr>
      </w:pPr>
      <w:r>
        <w:rPr>
          <w:rFonts w:ascii="TradeGothic-Oblique" w:hAnsi="TradeGothic-Oblique" w:cs="TradeGothic-Oblique" w:hint="eastAsia"/>
          <w:iCs/>
          <w:color w:val="231F20"/>
          <w:sz w:val="20"/>
          <w:szCs w:val="20"/>
        </w:rPr>
        <w:t>《</w:t>
      </w:r>
      <w:r w:rsidR="00A54ED4" w:rsidRPr="00A54ED4">
        <w:rPr>
          <w:rFonts w:ascii="TradeGothic-Oblique" w:hAnsi="TradeGothic-Oblique" w:cs="TradeGothic-Oblique"/>
          <w:iCs/>
          <w:color w:val="231F20"/>
          <w:sz w:val="20"/>
          <w:szCs w:val="20"/>
        </w:rPr>
        <w:t>Pocket Guide to Diagnostic Tests</w:t>
      </w:r>
      <w:r>
        <w:rPr>
          <w:rFonts w:ascii="TradeGothic-Oblique" w:hAnsi="TradeGothic-Oblique" w:cs="TradeGothic-Oblique" w:hint="eastAsia"/>
          <w:iCs/>
          <w:color w:val="231F20"/>
          <w:sz w:val="20"/>
          <w:szCs w:val="20"/>
        </w:rPr>
        <w:t>》</w:t>
      </w:r>
    </w:p>
    <w:p w:rsidR="00A54ED4" w:rsidRDefault="00164149" w:rsidP="00EE6D2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00" w:lineRule="auto"/>
      </w:pPr>
      <w:r>
        <w:rPr>
          <w:rFonts w:ascii="TradeGothic-Oblique" w:hAnsi="TradeGothic-Oblique" w:cs="TradeGothic-Oblique" w:hint="eastAsia"/>
          <w:iCs/>
          <w:color w:val="231F20"/>
          <w:sz w:val="20"/>
          <w:szCs w:val="20"/>
        </w:rPr>
        <w:t>《</w:t>
      </w:r>
      <w:proofErr w:type="spellStart"/>
      <w:r w:rsidR="00A54ED4" w:rsidRPr="00A54ED4">
        <w:rPr>
          <w:rFonts w:ascii="TradeGothic-Oblique" w:hAnsi="TradeGothic-Oblique" w:cs="TradeGothic-Oblique"/>
          <w:iCs/>
          <w:color w:val="231F20"/>
          <w:sz w:val="20"/>
          <w:szCs w:val="20"/>
        </w:rPr>
        <w:t>Goldfrank’s</w:t>
      </w:r>
      <w:proofErr w:type="spellEnd"/>
      <w:r w:rsidR="00A54ED4" w:rsidRPr="00A54ED4">
        <w:rPr>
          <w:rFonts w:ascii="TradeGothic-Oblique" w:hAnsi="TradeGothic-Oblique" w:cs="TradeGothic-Oblique"/>
          <w:iCs/>
          <w:color w:val="231F20"/>
          <w:sz w:val="20"/>
          <w:szCs w:val="20"/>
        </w:rPr>
        <w:t xml:space="preserve"> </w:t>
      </w:r>
      <w:proofErr w:type="spellStart"/>
      <w:r>
        <w:rPr>
          <w:rFonts w:ascii="TradeGothic-Oblique" w:hAnsi="TradeGothic-Oblique" w:cs="TradeGothic-Oblique"/>
          <w:iCs/>
          <w:color w:val="231F20"/>
          <w:sz w:val="20"/>
          <w:szCs w:val="20"/>
        </w:rPr>
        <w:t>Toxicologic</w:t>
      </w:r>
      <w:proofErr w:type="spellEnd"/>
      <w:r>
        <w:rPr>
          <w:rFonts w:ascii="TradeGothic-Oblique" w:hAnsi="TradeGothic-Oblique" w:cs="TradeGothic-Oblique"/>
          <w:iCs/>
          <w:color w:val="231F20"/>
          <w:sz w:val="20"/>
          <w:szCs w:val="20"/>
        </w:rPr>
        <w:t xml:space="preserve"> Emergencies</w:t>
      </w:r>
      <w:r>
        <w:rPr>
          <w:rFonts w:ascii="TradeGothic-Oblique" w:hAnsi="TradeGothic-Oblique" w:cs="TradeGothic-Oblique" w:hint="eastAsia"/>
          <w:iCs/>
          <w:color w:val="231F20"/>
          <w:sz w:val="20"/>
          <w:szCs w:val="20"/>
        </w:rPr>
        <w:t>》等</w:t>
      </w:r>
    </w:p>
    <w:p w:rsidR="006C6F1F" w:rsidRDefault="00E70F6C" w:rsidP="00EE6D22">
      <w:pPr>
        <w:pStyle w:val="a3"/>
        <w:numPr>
          <w:ilvl w:val="0"/>
          <w:numId w:val="7"/>
        </w:numPr>
        <w:spacing w:line="300" w:lineRule="auto"/>
      </w:pPr>
      <w:r>
        <w:t>Custom</w:t>
      </w:r>
      <w:r w:rsidR="00A54ED4">
        <w:t xml:space="preserve"> Curriculum</w:t>
      </w:r>
    </w:p>
    <w:p w:rsidR="006C6F1F" w:rsidRDefault="005322C6" w:rsidP="00EE6D22">
      <w:pPr>
        <w:pStyle w:val="a3"/>
        <w:spacing w:line="300" w:lineRule="auto"/>
      </w:pPr>
      <w:proofErr w:type="spellStart"/>
      <w:r>
        <w:t>AccessPharmacy</w:t>
      </w:r>
      <w:proofErr w:type="spellEnd"/>
      <w:r>
        <w:rPr>
          <w:rFonts w:hint="eastAsia"/>
        </w:rPr>
        <w:t>中的</w:t>
      </w:r>
      <w:r>
        <w:rPr>
          <w:rFonts w:hint="eastAsia"/>
        </w:rPr>
        <w:t>Custom Curriculum</w:t>
      </w:r>
      <w:r>
        <w:rPr>
          <w:rFonts w:hint="eastAsia"/>
        </w:rPr>
        <w:t>是一个先进的工具。内科学学习项目管理者可以利用</w:t>
      </w:r>
      <w:r>
        <w:rPr>
          <w:rFonts w:hint="eastAsia"/>
        </w:rPr>
        <w:t>Access</w:t>
      </w:r>
      <w:r>
        <w:t>Pharmacy</w:t>
      </w:r>
      <w:r>
        <w:rPr>
          <w:rFonts w:hint="eastAsia"/>
        </w:rPr>
        <w:t>中的内容创建学习单元，布置学习任务，使学生或住院实习医师按照教师设定的步骤进行学习和测试；同时，教师可以随时跟踪学生或住院实习医师的学习进展；此外，</w:t>
      </w:r>
      <w:bookmarkStart w:id="7" w:name="OLE_LINK26"/>
      <w:bookmarkStart w:id="8" w:name="OLE_LINK27"/>
      <w:r>
        <w:rPr>
          <w:rFonts w:hint="eastAsia"/>
        </w:rPr>
        <w:t>学生和住院医师也可以以此来跟踪教学进度，进行自我测试和自我管理。系统会自动生成学员学习情况的报告。</w:t>
      </w:r>
      <w:bookmarkStart w:id="9" w:name="OLE_LINK8"/>
      <w:bookmarkStart w:id="10" w:name="OLE_LINK9"/>
      <w:bookmarkEnd w:id="7"/>
      <w:bookmarkEnd w:id="8"/>
    </w:p>
    <w:p w:rsidR="006C6F1F" w:rsidRDefault="006C6F1F" w:rsidP="00EE6D22">
      <w:pPr>
        <w:pStyle w:val="a3"/>
        <w:spacing w:line="300" w:lineRule="auto"/>
      </w:pPr>
    </w:p>
    <w:p w:rsidR="00A54ED4" w:rsidRDefault="00A54ED4" w:rsidP="00EE6D22">
      <w:pPr>
        <w:pStyle w:val="a3"/>
        <w:numPr>
          <w:ilvl w:val="0"/>
          <w:numId w:val="7"/>
        </w:numPr>
        <w:spacing w:line="300" w:lineRule="auto"/>
      </w:pPr>
      <w:r>
        <w:rPr>
          <w:rFonts w:hint="eastAsia"/>
        </w:rPr>
        <w:t>多媒体资源</w:t>
      </w:r>
      <w:r>
        <w:rPr>
          <w:rFonts w:hint="eastAsia"/>
        </w:rPr>
        <w:t>Multimedia</w:t>
      </w:r>
      <w:r w:rsidR="001772DD">
        <w:rPr>
          <w:rFonts w:hint="eastAsia"/>
        </w:rPr>
        <w:t>包括：视频、</w:t>
      </w:r>
      <w:r w:rsidR="00CF7394">
        <w:rPr>
          <w:rFonts w:hint="eastAsia"/>
        </w:rPr>
        <w:t>动画</w:t>
      </w:r>
      <w:r w:rsidR="006B1557">
        <w:rPr>
          <w:rFonts w:hint="eastAsia"/>
        </w:rPr>
        <w:t>、图谱、图片</w:t>
      </w:r>
    </w:p>
    <w:bookmarkEnd w:id="9"/>
    <w:bookmarkEnd w:id="10"/>
    <w:p w:rsidR="006C6F1F" w:rsidRDefault="006B1557" w:rsidP="00EE6D22">
      <w:pPr>
        <w:pStyle w:val="a3"/>
        <w:spacing w:line="300" w:lineRule="auto"/>
        <w:ind w:left="810"/>
      </w:pPr>
      <w:r>
        <w:rPr>
          <w:rFonts w:hint="eastAsia"/>
        </w:rPr>
        <w:t>包含一</w:t>
      </w:r>
      <w:r w:rsidR="00B639FB">
        <w:rPr>
          <w:rFonts w:hint="eastAsia"/>
        </w:rPr>
        <w:t>百</w:t>
      </w:r>
      <w:r>
        <w:rPr>
          <w:rFonts w:hint="eastAsia"/>
        </w:rPr>
        <w:t>多</w:t>
      </w:r>
      <w:r w:rsidR="00B639FB">
        <w:rPr>
          <w:rFonts w:hint="eastAsia"/>
        </w:rPr>
        <w:t>段有关于药物治疗的视频；</w:t>
      </w:r>
      <w:r w:rsidR="006746F3" w:rsidRPr="004304BA">
        <w:rPr>
          <w:rFonts w:hint="eastAsia"/>
        </w:rPr>
        <w:t>来自于《</w:t>
      </w:r>
      <w:r w:rsidR="006746F3" w:rsidRPr="004304BA">
        <w:t>Goodman &amp; Gilman’s The Pharmacological Basis of Therapeutics</w:t>
      </w:r>
      <w:r w:rsidR="009211B7">
        <w:rPr>
          <w:rFonts w:hint="eastAsia"/>
        </w:rPr>
        <w:t>》药物相互作用的物理检测指导</w:t>
      </w:r>
      <w:r w:rsidR="006746F3" w:rsidRPr="004304BA">
        <w:rPr>
          <w:rFonts w:hint="eastAsia"/>
        </w:rPr>
        <w:t>和</w:t>
      </w:r>
      <w:r w:rsidR="001772D6" w:rsidRPr="004304BA">
        <w:rPr>
          <w:rFonts w:hint="eastAsia"/>
        </w:rPr>
        <w:t>课程视频；</w:t>
      </w:r>
      <w:r w:rsidR="008D77AD">
        <w:rPr>
          <w:rFonts w:hint="eastAsia"/>
        </w:rPr>
        <w:t>Harrison Online</w:t>
      </w:r>
      <w:r w:rsidR="008D77AD">
        <w:rPr>
          <w:rFonts w:hint="eastAsia"/>
        </w:rPr>
        <w:t>中的视频资料；</w:t>
      </w:r>
      <w:r w:rsidR="00B22640">
        <w:rPr>
          <w:rFonts w:hint="eastAsia"/>
        </w:rPr>
        <w:t>以及上万张</w:t>
      </w:r>
      <w:r w:rsidR="00D17E4E">
        <w:rPr>
          <w:rFonts w:hint="eastAsia"/>
        </w:rPr>
        <w:t>药物学相关图片</w:t>
      </w:r>
      <w:r w:rsidR="00B639FB">
        <w:rPr>
          <w:rFonts w:hint="eastAsia"/>
        </w:rPr>
        <w:t>。</w:t>
      </w:r>
    </w:p>
    <w:p w:rsidR="006C6F1F" w:rsidRDefault="006C6F1F" w:rsidP="00EE6D22">
      <w:pPr>
        <w:pStyle w:val="a3"/>
        <w:spacing w:line="300" w:lineRule="auto"/>
        <w:ind w:left="810"/>
      </w:pPr>
    </w:p>
    <w:p w:rsidR="006C6F1F" w:rsidRDefault="00B05C17" w:rsidP="00EE6D22">
      <w:pPr>
        <w:pStyle w:val="a3"/>
        <w:numPr>
          <w:ilvl w:val="0"/>
          <w:numId w:val="7"/>
        </w:numPr>
        <w:spacing w:line="300" w:lineRule="auto"/>
      </w:pPr>
      <w:r>
        <w:rPr>
          <w:rFonts w:hint="eastAsia"/>
        </w:rPr>
        <w:t>自我测评</w:t>
      </w:r>
      <w:r w:rsidR="009211B7">
        <w:rPr>
          <w:rFonts w:hint="eastAsia"/>
        </w:rPr>
        <w:t>Self-Assessment</w:t>
      </w:r>
      <w:r w:rsidR="009211B7">
        <w:rPr>
          <w:rFonts w:hint="eastAsia"/>
        </w:rPr>
        <w:t>：</w:t>
      </w:r>
      <w:bookmarkStart w:id="11" w:name="OLE_LINK3"/>
    </w:p>
    <w:p w:rsidR="006C6F1F" w:rsidRDefault="006C6F1F" w:rsidP="00EE6D22">
      <w:pPr>
        <w:pStyle w:val="a3"/>
        <w:spacing w:line="300" w:lineRule="auto"/>
      </w:pPr>
      <w:r>
        <w:rPr>
          <w:rFonts w:hint="eastAsia"/>
        </w:rPr>
        <w:t xml:space="preserve">--- </w:t>
      </w:r>
      <w:r w:rsidR="001772D6">
        <w:rPr>
          <w:rFonts w:hint="eastAsia"/>
        </w:rPr>
        <w:t>超过</w:t>
      </w:r>
      <w:r w:rsidR="00833615">
        <w:t>1</w:t>
      </w:r>
      <w:r w:rsidR="00833615">
        <w:rPr>
          <w:rFonts w:hint="eastAsia"/>
        </w:rPr>
        <w:t>0</w:t>
      </w:r>
      <w:r w:rsidR="001772D6">
        <w:rPr>
          <w:rFonts w:hint="eastAsia"/>
        </w:rPr>
        <w:t>000</w:t>
      </w:r>
      <w:r w:rsidR="001772D6">
        <w:rPr>
          <w:rFonts w:hint="eastAsia"/>
        </w:rPr>
        <w:t>道</w:t>
      </w:r>
      <w:r w:rsidR="006B1557">
        <w:rPr>
          <w:rFonts w:hint="eastAsia"/>
        </w:rPr>
        <w:t>药学相关的</w:t>
      </w:r>
      <w:r w:rsidR="004304BA">
        <w:rPr>
          <w:rFonts w:hint="eastAsia"/>
        </w:rPr>
        <w:t>测试题</w:t>
      </w:r>
      <w:r w:rsidR="009211B7">
        <w:rPr>
          <w:rFonts w:hint="eastAsia"/>
        </w:rPr>
        <w:t>：</w:t>
      </w:r>
      <w:bookmarkEnd w:id="11"/>
    </w:p>
    <w:p w:rsidR="006C6F1F" w:rsidRDefault="006C6F1F" w:rsidP="00EE6D22">
      <w:pPr>
        <w:pStyle w:val="a3"/>
        <w:spacing w:line="300" w:lineRule="auto"/>
      </w:pPr>
      <w:r>
        <w:rPr>
          <w:rFonts w:hint="eastAsia"/>
        </w:rPr>
        <w:t xml:space="preserve">--- </w:t>
      </w:r>
      <w:r w:rsidR="009211B7">
        <w:rPr>
          <w:rFonts w:hint="eastAsia"/>
        </w:rPr>
        <w:t>从</w:t>
      </w:r>
      <w:r w:rsidR="00E17BCA">
        <w:rPr>
          <w:rFonts w:hint="eastAsia"/>
        </w:rPr>
        <w:t>麦格劳</w:t>
      </w:r>
      <w:r w:rsidR="00E70F6C">
        <w:rPr>
          <w:rFonts w:hint="eastAsia"/>
        </w:rPr>
        <w:t>－</w:t>
      </w:r>
      <w:r w:rsidR="00E17BCA">
        <w:rPr>
          <w:rFonts w:hint="eastAsia"/>
        </w:rPr>
        <w:t>希尔经典</w:t>
      </w:r>
      <w:r w:rsidR="0039127C">
        <w:rPr>
          <w:rFonts w:hint="eastAsia"/>
        </w:rPr>
        <w:t>药学书目中精选</w:t>
      </w:r>
      <w:r w:rsidR="00E17BCA">
        <w:rPr>
          <w:rFonts w:hint="eastAsia"/>
        </w:rPr>
        <w:t>出</w:t>
      </w:r>
      <w:r w:rsidR="009211B7">
        <w:rPr>
          <w:rFonts w:hint="eastAsia"/>
        </w:rPr>
        <w:t>的测试题。</w:t>
      </w:r>
    </w:p>
    <w:p w:rsidR="006C6F1F" w:rsidRDefault="006C6F1F" w:rsidP="00EE6D22">
      <w:pPr>
        <w:pStyle w:val="a3"/>
        <w:spacing w:line="300" w:lineRule="auto"/>
      </w:pPr>
      <w:r>
        <w:rPr>
          <w:rFonts w:hint="eastAsia"/>
        </w:rPr>
        <w:t xml:space="preserve">--- </w:t>
      </w:r>
      <w:r w:rsidR="00E70F6C">
        <w:rPr>
          <w:rFonts w:hint="eastAsia"/>
        </w:rPr>
        <w:t>NAPLEX</w:t>
      </w:r>
      <w:r w:rsidR="00E70F6C">
        <w:rPr>
          <w:rFonts w:hint="eastAsia"/>
        </w:rPr>
        <w:t>（北美执业药师资格考试）以及有关美国联邦药学法的测试题。</w:t>
      </w:r>
    </w:p>
    <w:p w:rsidR="006C6F1F" w:rsidRDefault="006C6F1F" w:rsidP="00EE6D22">
      <w:pPr>
        <w:pStyle w:val="a3"/>
        <w:spacing w:line="300" w:lineRule="auto"/>
      </w:pPr>
      <w:r>
        <w:rPr>
          <w:rFonts w:hint="eastAsia"/>
        </w:rPr>
        <w:t xml:space="preserve">--- </w:t>
      </w:r>
      <w:r w:rsidR="008D77AD">
        <w:rPr>
          <w:rFonts w:hint="eastAsia"/>
        </w:rPr>
        <w:t>提供</w:t>
      </w:r>
      <w:r w:rsidR="00A646D3">
        <w:rPr>
          <w:rFonts w:hint="eastAsia"/>
        </w:rPr>
        <w:t>涵盖</w:t>
      </w:r>
      <w:r w:rsidR="00A646D3">
        <w:rPr>
          <w:rFonts w:hint="eastAsia"/>
        </w:rPr>
        <w:t>200</w:t>
      </w:r>
      <w:r w:rsidR="009211B7">
        <w:rPr>
          <w:rFonts w:hint="eastAsia"/>
        </w:rPr>
        <w:t>种</w:t>
      </w:r>
      <w:r w:rsidR="00A646D3">
        <w:rPr>
          <w:rFonts w:hint="eastAsia"/>
        </w:rPr>
        <w:t>核心药物</w:t>
      </w:r>
      <w:r w:rsidR="009211B7">
        <w:rPr>
          <w:rFonts w:hint="eastAsia"/>
        </w:rPr>
        <w:t>的问题测试。</w:t>
      </w:r>
    </w:p>
    <w:p w:rsidR="006C6F1F" w:rsidRDefault="006C6F1F" w:rsidP="00EE6D22">
      <w:pPr>
        <w:pStyle w:val="a3"/>
        <w:spacing w:line="300" w:lineRule="auto"/>
      </w:pPr>
      <w:r>
        <w:rPr>
          <w:rFonts w:hint="eastAsia"/>
        </w:rPr>
        <w:t xml:space="preserve">--- </w:t>
      </w:r>
      <w:r w:rsidR="00833615">
        <w:rPr>
          <w:rFonts w:hint="eastAsia"/>
        </w:rPr>
        <w:t>快速测试环节</w:t>
      </w:r>
      <w:r w:rsidR="00E70F6C">
        <w:rPr>
          <w:rFonts w:hint="eastAsia"/>
        </w:rPr>
        <w:t>Quick Test</w:t>
      </w:r>
      <w:r w:rsidR="00833615">
        <w:rPr>
          <w:rFonts w:hint="eastAsia"/>
        </w:rPr>
        <w:t>：读者注册之后，个人邮箱中将每月收到两次测试题目，便于读者随时自测药</w:t>
      </w:r>
    </w:p>
    <w:p w:rsidR="00CF7394" w:rsidRDefault="006C6F1F" w:rsidP="00EE6D22">
      <w:pPr>
        <w:pStyle w:val="a3"/>
        <w:spacing w:line="300" w:lineRule="auto"/>
      </w:pPr>
      <w:r>
        <w:rPr>
          <w:rFonts w:hint="eastAsia"/>
        </w:rPr>
        <w:t xml:space="preserve">     </w:t>
      </w:r>
      <w:r w:rsidR="00833615">
        <w:rPr>
          <w:rFonts w:hint="eastAsia"/>
        </w:rPr>
        <w:t>理学知识掌握情况。</w:t>
      </w:r>
    </w:p>
    <w:p w:rsidR="00546F23" w:rsidRDefault="00546F23" w:rsidP="00EE6D22">
      <w:pPr>
        <w:pStyle w:val="a3"/>
        <w:spacing w:line="300" w:lineRule="auto"/>
      </w:pPr>
    </w:p>
    <w:p w:rsidR="00CF7394" w:rsidRDefault="0044614C" w:rsidP="00EE6D22">
      <w:pPr>
        <w:pStyle w:val="a3"/>
        <w:numPr>
          <w:ilvl w:val="0"/>
          <w:numId w:val="7"/>
        </w:numPr>
        <w:spacing w:line="300" w:lineRule="auto"/>
      </w:pPr>
      <w:r>
        <w:rPr>
          <w:rFonts w:hint="eastAsia"/>
        </w:rPr>
        <w:t>药品库</w:t>
      </w:r>
      <w:r w:rsidR="00CF7394">
        <w:rPr>
          <w:rFonts w:hint="eastAsia"/>
        </w:rPr>
        <w:t>Drugs</w:t>
      </w:r>
    </w:p>
    <w:p w:rsidR="00854FBB" w:rsidRDefault="00A646D3" w:rsidP="00EE6D22">
      <w:pPr>
        <w:pStyle w:val="a3"/>
        <w:spacing w:line="300" w:lineRule="auto"/>
        <w:ind w:left="810"/>
      </w:pPr>
      <w:r>
        <w:rPr>
          <w:rFonts w:hint="eastAsia"/>
        </w:rPr>
        <w:t>整合的</w:t>
      </w:r>
      <w:r w:rsidR="00B75DB0">
        <w:rPr>
          <w:rFonts w:hint="eastAsia"/>
        </w:rPr>
        <w:t>药品</w:t>
      </w:r>
      <w:r w:rsidR="00854FBB">
        <w:rPr>
          <w:rFonts w:hint="eastAsia"/>
        </w:rPr>
        <w:t>及保健药品</w:t>
      </w:r>
      <w:r>
        <w:rPr>
          <w:rFonts w:hint="eastAsia"/>
        </w:rPr>
        <w:t>资源</w:t>
      </w:r>
      <w:r w:rsidR="00B65A79">
        <w:rPr>
          <w:rFonts w:hint="eastAsia"/>
        </w:rPr>
        <w:t>，</w:t>
      </w:r>
      <w:r w:rsidR="0044614C">
        <w:rPr>
          <w:rFonts w:hint="eastAsia"/>
        </w:rPr>
        <w:t>共提供</w:t>
      </w:r>
      <w:r w:rsidR="00637B1C">
        <w:rPr>
          <w:rFonts w:hint="eastAsia"/>
        </w:rPr>
        <w:t>约</w:t>
      </w:r>
      <w:r w:rsidR="00637B1C">
        <w:rPr>
          <w:rFonts w:hint="eastAsia"/>
        </w:rPr>
        <w:t>75</w:t>
      </w:r>
      <w:r w:rsidR="006C04EC">
        <w:rPr>
          <w:rFonts w:hint="eastAsia"/>
        </w:rPr>
        <w:t>00</w:t>
      </w:r>
      <w:r w:rsidR="006C04EC">
        <w:rPr>
          <w:rFonts w:hint="eastAsia"/>
        </w:rPr>
        <w:t>种药物</w:t>
      </w:r>
      <w:r w:rsidR="00D22E68">
        <w:rPr>
          <w:rFonts w:hint="eastAsia"/>
        </w:rPr>
        <w:t>的英语、西班牙语版本的</w:t>
      </w:r>
      <w:r w:rsidR="0044614C">
        <w:rPr>
          <w:rFonts w:hint="eastAsia"/>
        </w:rPr>
        <w:t>描述信息，包括</w:t>
      </w:r>
      <w:r w:rsidR="00B65A79">
        <w:rPr>
          <w:rFonts w:hint="eastAsia"/>
        </w:rPr>
        <w:t>用药</w:t>
      </w:r>
      <w:r>
        <w:rPr>
          <w:rFonts w:hint="eastAsia"/>
        </w:rPr>
        <w:t>指示、</w:t>
      </w:r>
      <w:r w:rsidR="00B65A79">
        <w:rPr>
          <w:rFonts w:hint="eastAsia"/>
        </w:rPr>
        <w:t>剂量</w:t>
      </w:r>
      <w:r w:rsidR="008D77AD">
        <w:rPr>
          <w:rFonts w:hint="eastAsia"/>
        </w:rPr>
        <w:t>、</w:t>
      </w:r>
      <w:r>
        <w:rPr>
          <w:rFonts w:hint="eastAsia"/>
        </w:rPr>
        <w:t>禁忌与药物分级等关键信息</w:t>
      </w:r>
      <w:r w:rsidR="00B65A79">
        <w:rPr>
          <w:rFonts w:hint="eastAsia"/>
        </w:rPr>
        <w:t>，内容及时更新</w:t>
      </w:r>
      <w:r w:rsidR="006C04EC">
        <w:rPr>
          <w:rFonts w:hint="eastAsia"/>
        </w:rPr>
        <w:t>。</w:t>
      </w:r>
    </w:p>
    <w:p w:rsidR="00546F23" w:rsidRDefault="00546F23" w:rsidP="00EE6D22">
      <w:pPr>
        <w:pStyle w:val="a3"/>
        <w:spacing w:line="300" w:lineRule="auto"/>
        <w:ind w:left="810"/>
      </w:pPr>
    </w:p>
    <w:p w:rsidR="00546F23" w:rsidRDefault="00743E78" w:rsidP="00EE6D22">
      <w:pPr>
        <w:pStyle w:val="a3"/>
        <w:numPr>
          <w:ilvl w:val="0"/>
          <w:numId w:val="7"/>
        </w:numPr>
        <w:spacing w:line="300" w:lineRule="auto"/>
      </w:pPr>
      <w:bookmarkStart w:id="12" w:name="OLE_LINK4"/>
      <w:r>
        <w:rPr>
          <w:rFonts w:hint="eastAsia"/>
        </w:rPr>
        <w:t>医学知识快速参考</w:t>
      </w:r>
      <w:r w:rsidR="0044614C">
        <w:t xml:space="preserve">Quick </w:t>
      </w:r>
      <w:r w:rsidR="0044614C">
        <w:rPr>
          <w:rFonts w:hint="eastAsia"/>
        </w:rPr>
        <w:t>Reference</w:t>
      </w:r>
      <w:bookmarkStart w:id="13" w:name="OLE_LINK6"/>
      <w:bookmarkStart w:id="14" w:name="OLE_LINK7"/>
      <w:bookmarkEnd w:id="12"/>
    </w:p>
    <w:p w:rsidR="00546F23" w:rsidRDefault="00546F23" w:rsidP="00EE6D22">
      <w:pPr>
        <w:pStyle w:val="a3"/>
        <w:spacing w:line="300" w:lineRule="auto"/>
      </w:pPr>
      <w:r>
        <w:rPr>
          <w:rFonts w:hint="eastAsia"/>
        </w:rPr>
        <w:t xml:space="preserve">--- </w:t>
      </w:r>
      <w:r w:rsidR="0044614C">
        <w:rPr>
          <w:rFonts w:hint="eastAsia"/>
        </w:rPr>
        <w:t>医学知识点的精要概览：</w:t>
      </w:r>
      <w:r w:rsidR="00743E78">
        <w:rPr>
          <w:rFonts w:hint="eastAsia"/>
        </w:rPr>
        <w:t>含约</w:t>
      </w:r>
      <w:r w:rsidR="001839E5">
        <w:rPr>
          <w:rFonts w:hint="eastAsia"/>
        </w:rPr>
        <w:t>150</w:t>
      </w:r>
      <w:r w:rsidR="00743E78">
        <w:rPr>
          <w:rFonts w:hint="eastAsia"/>
        </w:rPr>
        <w:t>个主题，读者可以查找到每种药物的简介、实用、专业的相关知识</w:t>
      </w:r>
    </w:p>
    <w:p w:rsidR="00546F23" w:rsidRDefault="00546F23" w:rsidP="00EE6D22">
      <w:pPr>
        <w:pStyle w:val="a3"/>
        <w:spacing w:line="300" w:lineRule="auto"/>
      </w:pPr>
      <w:r>
        <w:rPr>
          <w:rFonts w:hint="eastAsia"/>
        </w:rPr>
        <w:t xml:space="preserve">     </w:t>
      </w:r>
      <w:r w:rsidR="00743E78">
        <w:rPr>
          <w:rFonts w:hint="eastAsia"/>
        </w:rPr>
        <w:t>点，目的是为读者在治疗过程中快速简便的查找到所需的药物治疗信息。</w:t>
      </w:r>
    </w:p>
    <w:p w:rsidR="00546F23" w:rsidRDefault="00546F23" w:rsidP="00EE6D22">
      <w:pPr>
        <w:pStyle w:val="a3"/>
        <w:spacing w:line="300" w:lineRule="auto"/>
      </w:pPr>
      <w:r>
        <w:rPr>
          <w:rFonts w:hint="eastAsia"/>
        </w:rPr>
        <w:t xml:space="preserve">--- </w:t>
      </w:r>
      <w:r w:rsidR="0044614C">
        <w:rPr>
          <w:rFonts w:hint="eastAsia"/>
        </w:rPr>
        <w:t>中草药和</w:t>
      </w:r>
      <w:r w:rsidR="0069265E">
        <w:rPr>
          <w:rFonts w:hint="eastAsia"/>
        </w:rPr>
        <w:t>保健品</w:t>
      </w:r>
      <w:r w:rsidR="0044614C">
        <w:rPr>
          <w:rFonts w:hint="eastAsia"/>
        </w:rPr>
        <w:t>：</w:t>
      </w:r>
      <w:r w:rsidR="0069265E">
        <w:rPr>
          <w:rFonts w:hint="eastAsia"/>
        </w:rPr>
        <w:t>提供</w:t>
      </w:r>
      <w:r w:rsidR="0069265E">
        <w:rPr>
          <w:rFonts w:hint="eastAsia"/>
        </w:rPr>
        <w:t>1100</w:t>
      </w:r>
      <w:r w:rsidR="0069265E">
        <w:rPr>
          <w:rFonts w:hint="eastAsia"/>
        </w:rPr>
        <w:t>多种中草药和保健药品的描述信息。</w:t>
      </w:r>
    </w:p>
    <w:p w:rsidR="0044614C" w:rsidRPr="0044614C" w:rsidRDefault="00546F23" w:rsidP="00EE6D22">
      <w:pPr>
        <w:pStyle w:val="a3"/>
        <w:spacing w:line="300" w:lineRule="auto"/>
      </w:pPr>
      <w:r>
        <w:rPr>
          <w:rFonts w:hint="eastAsia"/>
        </w:rPr>
        <w:t xml:space="preserve">--- </w:t>
      </w:r>
      <w:r w:rsidR="00E70F6C">
        <w:rPr>
          <w:rFonts w:hint="eastAsia"/>
        </w:rPr>
        <w:t>计算器：提供</w:t>
      </w:r>
      <w:r w:rsidR="00E70F6C">
        <w:rPr>
          <w:rFonts w:hint="eastAsia"/>
        </w:rPr>
        <w:t>25</w:t>
      </w:r>
      <w:r w:rsidR="00E70F6C">
        <w:rPr>
          <w:rFonts w:hint="eastAsia"/>
        </w:rPr>
        <w:t>种计算方式</w:t>
      </w:r>
      <w:r w:rsidR="0044614C">
        <w:rPr>
          <w:rFonts w:hint="eastAsia"/>
        </w:rPr>
        <w:t>，可帮助读者快速计算药物学数据。</w:t>
      </w:r>
    </w:p>
    <w:bookmarkEnd w:id="13"/>
    <w:bookmarkEnd w:id="14"/>
    <w:p w:rsidR="00A646D3" w:rsidRDefault="00A646D3" w:rsidP="00EE6D22">
      <w:pPr>
        <w:pStyle w:val="a3"/>
        <w:spacing w:line="300" w:lineRule="auto"/>
        <w:ind w:left="810"/>
      </w:pPr>
    </w:p>
    <w:p w:rsidR="00546F23" w:rsidRDefault="00743E78" w:rsidP="00EE6D22">
      <w:pPr>
        <w:pStyle w:val="a3"/>
        <w:numPr>
          <w:ilvl w:val="0"/>
          <w:numId w:val="7"/>
        </w:numPr>
        <w:spacing w:line="300" w:lineRule="auto"/>
      </w:pPr>
      <w:r>
        <w:rPr>
          <w:rFonts w:hint="eastAsia"/>
        </w:rPr>
        <w:t>患者教育</w:t>
      </w:r>
      <w:r>
        <w:rPr>
          <w:rFonts w:hint="eastAsia"/>
        </w:rPr>
        <w:t>Patient Education</w:t>
      </w:r>
      <w:r w:rsidR="00546F23">
        <w:rPr>
          <w:rFonts w:hint="eastAsia"/>
        </w:rPr>
        <w:t>：</w:t>
      </w:r>
      <w:r w:rsidR="00546F23">
        <w:rPr>
          <w:rFonts w:hint="eastAsia"/>
        </w:rPr>
        <w:t xml:space="preserve"> </w:t>
      </w:r>
    </w:p>
    <w:p w:rsidR="00546F23" w:rsidRDefault="006C04EC" w:rsidP="00EE6D22">
      <w:pPr>
        <w:pStyle w:val="a3"/>
        <w:spacing w:line="300" w:lineRule="auto"/>
      </w:pPr>
      <w:r>
        <w:rPr>
          <w:rFonts w:hint="eastAsia"/>
        </w:rPr>
        <w:t>提供约</w:t>
      </w:r>
      <w:r>
        <w:rPr>
          <w:rFonts w:hint="eastAsia"/>
        </w:rPr>
        <w:t>5000</w:t>
      </w:r>
      <w:r w:rsidR="00833615">
        <w:rPr>
          <w:rFonts w:hint="eastAsia"/>
        </w:rPr>
        <w:t>份患者教育讲义，</w:t>
      </w:r>
      <w:r w:rsidR="00BB6F65">
        <w:rPr>
          <w:rFonts w:hint="eastAsia"/>
        </w:rPr>
        <w:t>分为成年人疾病，急性病，内科学，儿科学四各部分，患者可以根据分类进一步查询所需要的医学常识。</w:t>
      </w:r>
      <w:r w:rsidR="001839E5">
        <w:rPr>
          <w:rFonts w:hint="eastAsia"/>
        </w:rPr>
        <w:t>内容提供多种语言版本可供读者随意选择，其中包括简体中文。</w:t>
      </w:r>
    </w:p>
    <w:p w:rsidR="00546F23" w:rsidRDefault="00546F23" w:rsidP="00EE6D22">
      <w:pPr>
        <w:pStyle w:val="a3"/>
        <w:spacing w:line="300" w:lineRule="auto"/>
      </w:pPr>
    </w:p>
    <w:p w:rsidR="00546F23" w:rsidRDefault="001839E5" w:rsidP="00EE6D22">
      <w:pPr>
        <w:pStyle w:val="a3"/>
        <w:numPr>
          <w:ilvl w:val="0"/>
          <w:numId w:val="7"/>
        </w:numPr>
        <w:spacing w:line="300" w:lineRule="auto"/>
      </w:pPr>
      <w:r>
        <w:rPr>
          <w:rFonts w:hint="eastAsia"/>
        </w:rPr>
        <w:t>案例</w:t>
      </w:r>
      <w:r w:rsidR="00B511C6">
        <w:rPr>
          <w:rFonts w:hint="eastAsia"/>
        </w:rPr>
        <w:t>Cases</w:t>
      </w:r>
      <w:r w:rsidR="00546F23">
        <w:rPr>
          <w:rFonts w:hint="eastAsia"/>
        </w:rPr>
        <w:t>：</w:t>
      </w:r>
    </w:p>
    <w:p w:rsidR="00546F23" w:rsidRDefault="00546F23" w:rsidP="00EE6D22">
      <w:pPr>
        <w:pStyle w:val="a3"/>
        <w:spacing w:line="300" w:lineRule="auto"/>
      </w:pPr>
      <w:r>
        <w:rPr>
          <w:rFonts w:hint="eastAsia"/>
        </w:rPr>
        <w:t xml:space="preserve">--- </w:t>
      </w:r>
      <w:r w:rsidR="00690FE5">
        <w:rPr>
          <w:rFonts w:hint="eastAsia"/>
        </w:rPr>
        <w:t>药物治疗</w:t>
      </w:r>
      <w:r w:rsidR="001839E5">
        <w:rPr>
          <w:rFonts w:hint="eastAsia"/>
        </w:rPr>
        <w:t>及护理计划的</w:t>
      </w:r>
      <w:r w:rsidR="009A0AE6">
        <w:rPr>
          <w:rFonts w:hint="eastAsia"/>
        </w:rPr>
        <w:t>案例：</w:t>
      </w:r>
      <w:r w:rsidR="009A0AE6">
        <w:rPr>
          <w:rFonts w:hint="eastAsia"/>
        </w:rPr>
        <w:t>150</w:t>
      </w:r>
      <w:r w:rsidR="009A0AE6">
        <w:rPr>
          <w:rFonts w:hint="eastAsia"/>
        </w:rPr>
        <w:t>多个</w:t>
      </w:r>
      <w:r w:rsidR="00690FE5">
        <w:rPr>
          <w:rFonts w:hint="eastAsia"/>
        </w:rPr>
        <w:t>案例</w:t>
      </w:r>
      <w:r w:rsidR="009A0AE6">
        <w:rPr>
          <w:rFonts w:hint="eastAsia"/>
        </w:rPr>
        <w:t>，</w:t>
      </w:r>
      <w:r w:rsidR="00690FE5">
        <w:rPr>
          <w:rFonts w:hint="eastAsia"/>
        </w:rPr>
        <w:t>包</w:t>
      </w:r>
      <w:r w:rsidR="008B19AE">
        <w:rPr>
          <w:rFonts w:hint="eastAsia"/>
        </w:rPr>
        <w:t>含测试题及护理计划，学生可以根据教师的要求完成</w:t>
      </w:r>
    </w:p>
    <w:p w:rsidR="00546F23" w:rsidRDefault="00546F23" w:rsidP="00EE6D22">
      <w:pPr>
        <w:pStyle w:val="a3"/>
        <w:spacing w:line="300" w:lineRule="auto"/>
      </w:pPr>
      <w:r>
        <w:rPr>
          <w:rFonts w:hint="eastAsia"/>
        </w:rPr>
        <w:t xml:space="preserve">      </w:t>
      </w:r>
      <w:r w:rsidR="008B19AE">
        <w:rPr>
          <w:rFonts w:hint="eastAsia"/>
        </w:rPr>
        <w:t>测试并提交给教师，</w:t>
      </w:r>
      <w:r w:rsidR="00690FE5">
        <w:rPr>
          <w:rFonts w:hint="eastAsia"/>
        </w:rPr>
        <w:t>而课程设置者</w:t>
      </w:r>
      <w:r w:rsidR="00690FE5">
        <w:rPr>
          <w:rFonts w:hint="eastAsia"/>
        </w:rPr>
        <w:t>/</w:t>
      </w:r>
      <w:r w:rsidR="00690FE5">
        <w:rPr>
          <w:rFonts w:hint="eastAsia"/>
        </w:rPr>
        <w:t>教师可以在平台中获得</w:t>
      </w:r>
      <w:r w:rsidR="00B65A79">
        <w:rPr>
          <w:rFonts w:hint="eastAsia"/>
        </w:rPr>
        <w:t>教学指南及相应的答案重点</w:t>
      </w:r>
      <w:r w:rsidR="008B19AE">
        <w:rPr>
          <w:rFonts w:hint="eastAsia"/>
        </w:rPr>
        <w:t>。</w:t>
      </w:r>
    </w:p>
    <w:p w:rsidR="00546F23" w:rsidRDefault="00546F23" w:rsidP="00EE6D22">
      <w:pPr>
        <w:pStyle w:val="a3"/>
        <w:spacing w:line="300" w:lineRule="auto"/>
      </w:pPr>
      <w:r>
        <w:rPr>
          <w:rFonts w:hint="eastAsia"/>
        </w:rPr>
        <w:t xml:space="preserve">--- </w:t>
      </w:r>
      <w:r w:rsidR="001839E5">
        <w:rPr>
          <w:rFonts w:hint="eastAsia"/>
        </w:rPr>
        <w:t>案例分析：</w:t>
      </w:r>
      <w:r w:rsidR="001839E5">
        <w:rPr>
          <w:rFonts w:hint="eastAsia"/>
        </w:rPr>
        <w:t>56</w:t>
      </w:r>
      <w:r w:rsidR="001839E5">
        <w:rPr>
          <w:rFonts w:hint="eastAsia"/>
        </w:rPr>
        <w:t>个</w:t>
      </w:r>
      <w:r w:rsidR="00EC44E6">
        <w:rPr>
          <w:rFonts w:hint="eastAsia"/>
        </w:rPr>
        <w:t>重点案例，包括从案例中提取出的一些重要知识点和自我测试等。</w:t>
      </w:r>
    </w:p>
    <w:p w:rsidR="00546F23" w:rsidRDefault="00546F23" w:rsidP="00EE6D22">
      <w:pPr>
        <w:pStyle w:val="a3"/>
        <w:spacing w:line="300" w:lineRule="auto"/>
      </w:pPr>
      <w:r>
        <w:rPr>
          <w:rFonts w:hint="eastAsia"/>
        </w:rPr>
        <w:t xml:space="preserve">--- </w:t>
      </w:r>
      <w:r w:rsidR="001839E5">
        <w:rPr>
          <w:rFonts w:hint="eastAsia"/>
        </w:rPr>
        <w:t>病理生理学案例：提供</w:t>
      </w:r>
      <w:r w:rsidR="001839E5">
        <w:rPr>
          <w:rFonts w:hint="eastAsia"/>
        </w:rPr>
        <w:t>111</w:t>
      </w:r>
      <w:r w:rsidR="001839E5">
        <w:rPr>
          <w:rFonts w:hint="eastAsia"/>
        </w:rPr>
        <w:t>个病理生理学方面的案例</w:t>
      </w:r>
      <w:r w:rsidR="00EC44E6">
        <w:rPr>
          <w:rFonts w:hint="eastAsia"/>
        </w:rPr>
        <w:t>。</w:t>
      </w:r>
    </w:p>
    <w:p w:rsidR="001839E5" w:rsidRDefault="00546F23" w:rsidP="00EE6D22">
      <w:pPr>
        <w:pStyle w:val="a3"/>
        <w:spacing w:line="300" w:lineRule="auto"/>
      </w:pPr>
      <w:r>
        <w:rPr>
          <w:rFonts w:hint="eastAsia"/>
        </w:rPr>
        <w:t xml:space="preserve">--- </w:t>
      </w:r>
      <w:r w:rsidR="001839E5">
        <w:rPr>
          <w:rFonts w:hint="eastAsia"/>
        </w:rPr>
        <w:t>实证案例：</w:t>
      </w:r>
      <w:r w:rsidR="00EC44E6">
        <w:rPr>
          <w:rFonts w:hint="eastAsia"/>
        </w:rPr>
        <w:t>以视频的形式呈现实证案例给读者观看。</w:t>
      </w:r>
    </w:p>
    <w:p w:rsidR="006C6F1F" w:rsidRDefault="006C6F1F" w:rsidP="00EE6D22">
      <w:pPr>
        <w:pStyle w:val="a3"/>
        <w:spacing w:line="300" w:lineRule="auto"/>
        <w:ind w:left="810"/>
      </w:pPr>
    </w:p>
    <w:p w:rsidR="00EE6D22" w:rsidRDefault="006E1AA5" w:rsidP="00EE6D22">
      <w:pPr>
        <w:spacing w:line="300" w:lineRule="auto"/>
        <w:rPr>
          <w:b/>
        </w:rPr>
      </w:pPr>
      <w:r w:rsidRPr="00EE6D22">
        <w:rPr>
          <w:rFonts w:hint="eastAsia"/>
          <w:b/>
        </w:rPr>
        <w:t>数据库访问方式</w:t>
      </w:r>
    </w:p>
    <w:p w:rsidR="007F680F" w:rsidRPr="00EE6D22" w:rsidRDefault="007F680F" w:rsidP="00EE6D22">
      <w:pPr>
        <w:spacing w:line="300" w:lineRule="auto"/>
        <w:rPr>
          <w:b/>
        </w:rPr>
      </w:pPr>
      <w:r>
        <w:rPr>
          <w:rFonts w:hint="eastAsia"/>
        </w:rPr>
        <w:t>用户直接登录：</w:t>
      </w:r>
      <w:bookmarkStart w:id="15" w:name="OLE_LINK12"/>
      <w:bookmarkStart w:id="16" w:name="OLE_LINK13"/>
      <w:r w:rsidR="00FE7E6F">
        <w:fldChar w:fldCharType="begin"/>
      </w:r>
      <w:r w:rsidR="00FE7E6F">
        <w:instrText xml:space="preserve"> HYPERLINK "http://accesspharmacy.mhmedical.com" </w:instrText>
      </w:r>
      <w:r w:rsidR="00FE7E6F">
        <w:fldChar w:fldCharType="separate"/>
      </w:r>
      <w:r w:rsidR="00F97515" w:rsidRPr="00A87E9D">
        <w:rPr>
          <w:rStyle w:val="a4"/>
        </w:rPr>
        <w:t>http://accesspharmacy.mhmedical.com</w:t>
      </w:r>
      <w:r w:rsidR="00FE7E6F">
        <w:rPr>
          <w:rStyle w:val="a4"/>
        </w:rPr>
        <w:fldChar w:fldCharType="end"/>
      </w:r>
      <w:bookmarkEnd w:id="15"/>
      <w:bookmarkEnd w:id="16"/>
      <w:r w:rsidR="00F97515">
        <w:t xml:space="preserve"> </w:t>
      </w:r>
      <w:r>
        <w:rPr>
          <w:rFonts w:hint="eastAsia"/>
        </w:rPr>
        <w:t>，即可访问</w:t>
      </w:r>
      <w:proofErr w:type="spellStart"/>
      <w:r w:rsidR="00E408E8">
        <w:rPr>
          <w:rFonts w:hint="eastAsia"/>
        </w:rPr>
        <w:t>AccessPharmacy</w:t>
      </w:r>
      <w:proofErr w:type="spellEnd"/>
      <w:r>
        <w:rPr>
          <w:rFonts w:hint="eastAsia"/>
        </w:rPr>
        <w:t>的优质资源</w:t>
      </w:r>
      <w:r w:rsidR="00546F23">
        <w:rPr>
          <w:rFonts w:hint="eastAsia"/>
        </w:rPr>
        <w:t>。</w:t>
      </w:r>
    </w:p>
    <w:p w:rsidR="006C6F1F" w:rsidRDefault="006C6F1F" w:rsidP="006C6F1F">
      <w:pPr>
        <w:pStyle w:val="a3"/>
        <w:ind w:left="810"/>
        <w:rPr>
          <w:noProof/>
        </w:rPr>
      </w:pPr>
    </w:p>
    <w:p w:rsidR="008A42EE" w:rsidRPr="007C3AB9" w:rsidRDefault="008A3A6F" w:rsidP="002C299E">
      <w:pPr>
        <w:rPr>
          <w:sz w:val="32"/>
          <w:szCs w:val="32"/>
        </w:rPr>
      </w:pPr>
      <w:r>
        <w:rPr>
          <w:noProof/>
        </w:rPr>
        <w:t xml:space="preserve"> </w:t>
      </w:r>
    </w:p>
    <w:sectPr w:rsidR="008A42EE" w:rsidRPr="007C3AB9" w:rsidSect="00D111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F5" w:rsidRDefault="00FD3FF5" w:rsidP="00B75DB0">
      <w:pPr>
        <w:spacing w:after="0" w:line="240" w:lineRule="auto"/>
      </w:pPr>
      <w:r>
        <w:separator/>
      </w:r>
    </w:p>
  </w:endnote>
  <w:endnote w:type="continuationSeparator" w:id="0">
    <w:p w:rsidR="00FD3FF5" w:rsidRDefault="00FD3FF5" w:rsidP="00B7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eGothic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F5" w:rsidRDefault="00FD3FF5" w:rsidP="00B75DB0">
      <w:pPr>
        <w:spacing w:after="0" w:line="240" w:lineRule="auto"/>
      </w:pPr>
      <w:r>
        <w:separator/>
      </w:r>
    </w:p>
  </w:footnote>
  <w:footnote w:type="continuationSeparator" w:id="0">
    <w:p w:rsidR="00FD3FF5" w:rsidRDefault="00FD3FF5" w:rsidP="00B75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C9"/>
    <w:multiLevelType w:val="hybridMultilevel"/>
    <w:tmpl w:val="65447A0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12894EF5"/>
    <w:multiLevelType w:val="hybridMultilevel"/>
    <w:tmpl w:val="8BB62556"/>
    <w:lvl w:ilvl="0" w:tplc="2506AFEE"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5103F"/>
    <w:multiLevelType w:val="hybridMultilevel"/>
    <w:tmpl w:val="DB4EE7BA"/>
    <w:lvl w:ilvl="0" w:tplc="2506AFEE"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D63D78"/>
    <w:multiLevelType w:val="hybridMultilevel"/>
    <w:tmpl w:val="BFE65D4A"/>
    <w:lvl w:ilvl="0" w:tplc="E0D00A5C">
      <w:numFmt w:val="bullet"/>
      <w:lvlText w:val="-"/>
      <w:lvlJc w:val="left"/>
      <w:pPr>
        <w:ind w:left="1440" w:hanging="360"/>
      </w:pPr>
      <w:rPr>
        <w:rFonts w:ascii="TradeGothic-Oblique" w:eastAsiaTheme="minorEastAsia" w:hAnsi="TradeGothic-Oblique" w:cs="TradeGothic-Obliqu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DC30EC"/>
    <w:multiLevelType w:val="hybridMultilevel"/>
    <w:tmpl w:val="F8CC710A"/>
    <w:lvl w:ilvl="0" w:tplc="2506AFEE"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C44B4"/>
    <w:multiLevelType w:val="hybridMultilevel"/>
    <w:tmpl w:val="CD8C20FA"/>
    <w:lvl w:ilvl="0" w:tplc="2506AFEE"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440AE"/>
    <w:multiLevelType w:val="hybridMultilevel"/>
    <w:tmpl w:val="42065A68"/>
    <w:lvl w:ilvl="0" w:tplc="2506AFEE">
      <w:numFmt w:val="bullet"/>
      <w:lvlText w:val=""/>
      <w:lvlJc w:val="left"/>
      <w:pPr>
        <w:ind w:left="189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58631D9D"/>
    <w:multiLevelType w:val="hybridMultilevel"/>
    <w:tmpl w:val="94FAB808"/>
    <w:lvl w:ilvl="0" w:tplc="BFA6CD5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5CF27D88"/>
    <w:multiLevelType w:val="hybridMultilevel"/>
    <w:tmpl w:val="3F7A9D56"/>
    <w:lvl w:ilvl="0" w:tplc="6F2A419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5DBB1698"/>
    <w:multiLevelType w:val="hybridMultilevel"/>
    <w:tmpl w:val="64544C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90E7B46"/>
    <w:multiLevelType w:val="hybridMultilevel"/>
    <w:tmpl w:val="4722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00A5C">
      <w:numFmt w:val="bullet"/>
      <w:lvlText w:val="-"/>
      <w:lvlJc w:val="left"/>
      <w:pPr>
        <w:ind w:left="1440" w:hanging="360"/>
      </w:pPr>
      <w:rPr>
        <w:rFonts w:ascii="TradeGothic-Oblique" w:eastAsiaTheme="minorEastAsia" w:hAnsi="TradeGothic-Oblique" w:cs="TradeGothic-Obliqu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570C4"/>
    <w:multiLevelType w:val="hybridMultilevel"/>
    <w:tmpl w:val="28B4CFC4"/>
    <w:lvl w:ilvl="0" w:tplc="FBE6555C">
      <w:start w:val="1"/>
      <w:numFmt w:val="japaneseCounting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51DA0"/>
    <w:multiLevelType w:val="hybridMultilevel"/>
    <w:tmpl w:val="94FAB808"/>
    <w:lvl w:ilvl="0" w:tplc="BFA6CD5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7D7F3588"/>
    <w:multiLevelType w:val="hybridMultilevel"/>
    <w:tmpl w:val="CC64B5A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0"/>
  </w:num>
  <w:num w:numId="5">
    <w:abstractNumId w:val="7"/>
  </w:num>
  <w:num w:numId="6">
    <w:abstractNumId w:val="13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B4"/>
    <w:rsid w:val="00040297"/>
    <w:rsid w:val="00050CB9"/>
    <w:rsid w:val="00091BB0"/>
    <w:rsid w:val="00093AEB"/>
    <w:rsid w:val="000B0A2D"/>
    <w:rsid w:val="000C122A"/>
    <w:rsid w:val="000C1FF3"/>
    <w:rsid w:val="000D144A"/>
    <w:rsid w:val="000D786B"/>
    <w:rsid w:val="00164149"/>
    <w:rsid w:val="001772D6"/>
    <w:rsid w:val="001772DD"/>
    <w:rsid w:val="001839E5"/>
    <w:rsid w:val="001923EC"/>
    <w:rsid w:val="001D0BCA"/>
    <w:rsid w:val="001D491A"/>
    <w:rsid w:val="001E57F4"/>
    <w:rsid w:val="001F25F4"/>
    <w:rsid w:val="00253B56"/>
    <w:rsid w:val="002C299E"/>
    <w:rsid w:val="0032650F"/>
    <w:rsid w:val="0039127C"/>
    <w:rsid w:val="003A7E51"/>
    <w:rsid w:val="003C5FAE"/>
    <w:rsid w:val="003C78F8"/>
    <w:rsid w:val="003D14AB"/>
    <w:rsid w:val="003D26DE"/>
    <w:rsid w:val="00401F94"/>
    <w:rsid w:val="00423299"/>
    <w:rsid w:val="004304BA"/>
    <w:rsid w:val="0044614C"/>
    <w:rsid w:val="00485761"/>
    <w:rsid w:val="004B10BC"/>
    <w:rsid w:val="004B7F54"/>
    <w:rsid w:val="005322C6"/>
    <w:rsid w:val="00546192"/>
    <w:rsid w:val="00546F23"/>
    <w:rsid w:val="005B7CC6"/>
    <w:rsid w:val="005C7F8C"/>
    <w:rsid w:val="005D407C"/>
    <w:rsid w:val="005E11E0"/>
    <w:rsid w:val="005E7441"/>
    <w:rsid w:val="005F1F7F"/>
    <w:rsid w:val="0060124E"/>
    <w:rsid w:val="006016F9"/>
    <w:rsid w:val="00636886"/>
    <w:rsid w:val="00637B1C"/>
    <w:rsid w:val="006513F6"/>
    <w:rsid w:val="006711F8"/>
    <w:rsid w:val="006746F3"/>
    <w:rsid w:val="006747CF"/>
    <w:rsid w:val="00690FE5"/>
    <w:rsid w:val="0069265E"/>
    <w:rsid w:val="006A39C4"/>
    <w:rsid w:val="006A6240"/>
    <w:rsid w:val="006B1557"/>
    <w:rsid w:val="006C04EC"/>
    <w:rsid w:val="006C6F1F"/>
    <w:rsid w:val="006E1AA5"/>
    <w:rsid w:val="006E3814"/>
    <w:rsid w:val="00725D5A"/>
    <w:rsid w:val="00737191"/>
    <w:rsid w:val="00743E78"/>
    <w:rsid w:val="007553BB"/>
    <w:rsid w:val="0077354E"/>
    <w:rsid w:val="0078507C"/>
    <w:rsid w:val="007C3AB9"/>
    <w:rsid w:val="007E7E1A"/>
    <w:rsid w:val="007F680F"/>
    <w:rsid w:val="007F72B5"/>
    <w:rsid w:val="00816190"/>
    <w:rsid w:val="00816DC3"/>
    <w:rsid w:val="00833615"/>
    <w:rsid w:val="008360CC"/>
    <w:rsid w:val="00854FBB"/>
    <w:rsid w:val="00872E38"/>
    <w:rsid w:val="008A3A6F"/>
    <w:rsid w:val="008A42EE"/>
    <w:rsid w:val="008B19AE"/>
    <w:rsid w:val="008B517F"/>
    <w:rsid w:val="008D2955"/>
    <w:rsid w:val="008D77AD"/>
    <w:rsid w:val="008F09B0"/>
    <w:rsid w:val="009172E3"/>
    <w:rsid w:val="009211B7"/>
    <w:rsid w:val="0092532C"/>
    <w:rsid w:val="00940782"/>
    <w:rsid w:val="009950CD"/>
    <w:rsid w:val="0099692A"/>
    <w:rsid w:val="009A0AE6"/>
    <w:rsid w:val="009A7B3F"/>
    <w:rsid w:val="009A7E32"/>
    <w:rsid w:val="009D194D"/>
    <w:rsid w:val="009D2B6B"/>
    <w:rsid w:val="009E46C7"/>
    <w:rsid w:val="009F10BB"/>
    <w:rsid w:val="00A1498A"/>
    <w:rsid w:val="00A24866"/>
    <w:rsid w:val="00A431EE"/>
    <w:rsid w:val="00A54ED4"/>
    <w:rsid w:val="00A61C68"/>
    <w:rsid w:val="00A646D3"/>
    <w:rsid w:val="00AE29DA"/>
    <w:rsid w:val="00B054F0"/>
    <w:rsid w:val="00B05C17"/>
    <w:rsid w:val="00B117F9"/>
    <w:rsid w:val="00B17211"/>
    <w:rsid w:val="00B22640"/>
    <w:rsid w:val="00B472A9"/>
    <w:rsid w:val="00B511C6"/>
    <w:rsid w:val="00B639FB"/>
    <w:rsid w:val="00B65A79"/>
    <w:rsid w:val="00B75DB0"/>
    <w:rsid w:val="00BB6F65"/>
    <w:rsid w:val="00BD15B7"/>
    <w:rsid w:val="00BF5EF9"/>
    <w:rsid w:val="00C04C05"/>
    <w:rsid w:val="00C23837"/>
    <w:rsid w:val="00C64973"/>
    <w:rsid w:val="00C769F1"/>
    <w:rsid w:val="00CB376C"/>
    <w:rsid w:val="00CF7394"/>
    <w:rsid w:val="00D07438"/>
    <w:rsid w:val="00D111B4"/>
    <w:rsid w:val="00D16180"/>
    <w:rsid w:val="00D17E4E"/>
    <w:rsid w:val="00D22E68"/>
    <w:rsid w:val="00D439AA"/>
    <w:rsid w:val="00D47382"/>
    <w:rsid w:val="00D75575"/>
    <w:rsid w:val="00D94DC0"/>
    <w:rsid w:val="00D9726D"/>
    <w:rsid w:val="00D9788D"/>
    <w:rsid w:val="00DB0C3F"/>
    <w:rsid w:val="00DE4A6E"/>
    <w:rsid w:val="00DF3DA8"/>
    <w:rsid w:val="00E17BCA"/>
    <w:rsid w:val="00E20485"/>
    <w:rsid w:val="00E251F4"/>
    <w:rsid w:val="00E25A6B"/>
    <w:rsid w:val="00E408E8"/>
    <w:rsid w:val="00E6701D"/>
    <w:rsid w:val="00E70F6C"/>
    <w:rsid w:val="00E76172"/>
    <w:rsid w:val="00EA2123"/>
    <w:rsid w:val="00EA237B"/>
    <w:rsid w:val="00EA7823"/>
    <w:rsid w:val="00EA7A3A"/>
    <w:rsid w:val="00EB0B85"/>
    <w:rsid w:val="00EC44E6"/>
    <w:rsid w:val="00EE6D22"/>
    <w:rsid w:val="00EF236C"/>
    <w:rsid w:val="00F03C76"/>
    <w:rsid w:val="00F50BE1"/>
    <w:rsid w:val="00F51B77"/>
    <w:rsid w:val="00F53EC8"/>
    <w:rsid w:val="00F70028"/>
    <w:rsid w:val="00F848E6"/>
    <w:rsid w:val="00F94C78"/>
    <w:rsid w:val="00F97515"/>
    <w:rsid w:val="00F9797B"/>
    <w:rsid w:val="00FC7A7E"/>
    <w:rsid w:val="00FD3FF5"/>
    <w:rsid w:val="00FD5217"/>
    <w:rsid w:val="00FD6FE3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1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680F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2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A248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B75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6"/>
    <w:uiPriority w:val="99"/>
    <w:rsid w:val="00B75DB0"/>
  </w:style>
  <w:style w:type="paragraph" w:styleId="a7">
    <w:name w:val="footer"/>
    <w:basedOn w:val="a"/>
    <w:link w:val="Char1"/>
    <w:uiPriority w:val="99"/>
    <w:unhideWhenUsed/>
    <w:rsid w:val="00B75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7"/>
    <w:uiPriority w:val="99"/>
    <w:rsid w:val="00B75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1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680F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2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A248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B75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6"/>
    <w:uiPriority w:val="99"/>
    <w:rsid w:val="00B75DB0"/>
  </w:style>
  <w:style w:type="paragraph" w:styleId="a7">
    <w:name w:val="footer"/>
    <w:basedOn w:val="a"/>
    <w:link w:val="Char1"/>
    <w:uiPriority w:val="99"/>
    <w:unhideWhenUsed/>
    <w:rsid w:val="00B75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7"/>
    <w:uiPriority w:val="99"/>
    <w:rsid w:val="00B75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F31C3-093D-4647-AFA2-F48DDF2C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Han, XiangTing</dc:creator>
  <cp:lastModifiedBy>zq</cp:lastModifiedBy>
  <cp:revision>4</cp:revision>
  <dcterms:created xsi:type="dcterms:W3CDTF">2015-12-16T01:42:00Z</dcterms:created>
  <dcterms:modified xsi:type="dcterms:W3CDTF">2016-01-05T06:25:00Z</dcterms:modified>
</cp:coreProperties>
</file>